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AVOIR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l’avoir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Numéro de facture initiale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Motif de correction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Fournisseur / Émetteur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Client / Acheteur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Quantité</w:t>
            </w:r>
          </w:p>
        </w:tc>
        <w:tc>
          <w:tcPr>
            <w:tcW w:type="dxa" w:w="2160"/>
          </w:tcPr>
          <w:p>
            <w:r>
              <w:t>Valeur unitaire</w:t>
            </w:r>
          </w:p>
        </w:tc>
        <w:tc>
          <w:tcPr>
            <w:tcW w:type="dxa" w:w="2160"/>
          </w:tcPr>
          <w:p>
            <w:r>
              <w:t>Montant de l’avoir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Sous-total: __________________    Tax: ______________    Total: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Vérifiez la référence de la facture initiale et les règles fiscales de correction applicables.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