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WISSELBRIEF — CONCEPT TER CONTROLE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Conceptreferentie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Datum van trekking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Trekker / Uitgever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Betrokkene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Begunstigde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Nominaal bedrag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Looptijd / Vervaldatum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Plaats van trekking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Plaats van betaling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Referentie onderliggende transactie</w:t>
            </w:r>
          </w:p>
        </w:tc>
        <w:tc>
          <w:tcPr>
            <w:tcW w:type="dxa" w:w="4320"/>
          </w:tcPr>
          <w:p>
            <w:r>
              <w:t>Aanvullende voorwaarden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Drawer signature: __________________     Acceptance (if required): __________________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CONCEPT TER CONTROLE — geldigheid als verhandelbaar instrument niet bevestigd. Juridische en bancaire toetsing vereist.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